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06"/>
      </w:tblGrid>
      <w:tr w:rsidR="00184693" w14:paraId="60267DAB" w14:textId="77777777" w:rsidTr="00046F62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A7B40" w14:textId="77777777" w:rsidR="00184693" w:rsidRPr="000E5A93" w:rsidRDefault="0018469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399FEE20" wp14:editId="477F0343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9A" w14:textId="77777777" w:rsidR="00184693" w:rsidRPr="000E5A93" w:rsidRDefault="00184693" w:rsidP="00AF378B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3D43F39A" w14:textId="77777777" w:rsidR="00184693" w:rsidRDefault="00184693" w:rsidP="00AF378B">
            <w:pPr>
              <w:pStyle w:val="Style2"/>
              <w:spacing w:before="72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Acquisition d’é</w:t>
            </w:r>
            <w:r w:rsidRPr="00AF378B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quipements non pédagogiques</w:t>
            </w:r>
          </w:p>
          <w:p w14:paraId="72E5421E" w14:textId="77777777" w:rsidR="00184693" w:rsidRPr="00AF378B" w:rsidRDefault="00184693" w:rsidP="00AF378B">
            <w:pPr>
              <w:pStyle w:val="Style2"/>
              <w:spacing w:before="72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à destination des EPLE</w:t>
            </w:r>
          </w:p>
        </w:tc>
      </w:tr>
      <w:tr w:rsidR="007A66A7" w14:paraId="1727057B" w14:textId="77777777" w:rsidTr="00552FA0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F0F9E" w14:textId="77777777" w:rsidR="007A66A7" w:rsidRPr="004A27C3" w:rsidRDefault="007A66A7" w:rsidP="00184693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8264AD">
              <w:rPr>
                <w:b/>
                <w:color w:val="0070C0"/>
                <w:sz w:val="28"/>
                <w:szCs w:val="28"/>
              </w:rPr>
              <w:t>Thème : Lycées / Enseignement</w:t>
            </w:r>
          </w:p>
        </w:tc>
      </w:tr>
      <w:tr w:rsidR="007A66A7" w14:paraId="363356D9" w14:textId="77777777" w:rsidTr="00552FA0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BF31B5E" w14:textId="77777777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486DC535" w14:textId="285D6EC2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B0204D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Pour permettre à chacun de bâtir son avenir, réussir sa formation et son insertion professionnelle.</w:t>
            </w:r>
          </w:p>
        </w:tc>
      </w:tr>
      <w:tr w:rsidR="007A66A7" w14:paraId="09554277" w14:textId="77777777" w:rsidTr="00552FA0">
        <w:tc>
          <w:tcPr>
            <w:tcW w:w="2410" w:type="dxa"/>
            <w:gridSpan w:val="2"/>
          </w:tcPr>
          <w:p w14:paraId="55CC9F5F" w14:textId="77777777" w:rsidR="007A66A7" w:rsidRDefault="007A66A7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8506" w:type="dxa"/>
          </w:tcPr>
          <w:p w14:paraId="260AD9E1" w14:textId="4E14D311" w:rsidR="007A66A7" w:rsidRDefault="007A66A7" w:rsidP="00B0204D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Améliorer les conditions de vie et de réussite dans les lycées et bâtir le lycée du futur</w:t>
            </w:r>
          </w:p>
        </w:tc>
      </w:tr>
      <w:tr w:rsidR="007A66A7" w14:paraId="1CFD19AD" w14:textId="77777777" w:rsidTr="00552FA0">
        <w:tc>
          <w:tcPr>
            <w:tcW w:w="2410" w:type="dxa"/>
            <w:gridSpan w:val="2"/>
          </w:tcPr>
          <w:p w14:paraId="0275FBC8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Territoire </w:t>
            </w:r>
          </w:p>
        </w:tc>
        <w:tc>
          <w:tcPr>
            <w:tcW w:w="8506" w:type="dxa"/>
          </w:tcPr>
          <w:p w14:paraId="0348DAC3" w14:textId="566287AC" w:rsidR="007A66A7" w:rsidRDefault="007A66A7" w:rsidP="00DC4BC0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 </w:t>
            </w:r>
          </w:p>
        </w:tc>
      </w:tr>
      <w:tr w:rsidR="007A66A7" w14:paraId="097AB269" w14:textId="77777777" w:rsidTr="00552FA0">
        <w:tc>
          <w:tcPr>
            <w:tcW w:w="2410" w:type="dxa"/>
            <w:gridSpan w:val="2"/>
          </w:tcPr>
          <w:p w14:paraId="79C6CC8A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Type d’aide </w:t>
            </w:r>
          </w:p>
        </w:tc>
        <w:tc>
          <w:tcPr>
            <w:tcW w:w="8506" w:type="dxa"/>
          </w:tcPr>
          <w:p w14:paraId="5AA1BA73" w14:textId="77777777" w:rsidR="007A66A7" w:rsidRDefault="007A66A7" w:rsidP="00452351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Subvention / Acquisition directe</w:t>
            </w:r>
          </w:p>
        </w:tc>
      </w:tr>
    </w:tbl>
    <w:p w14:paraId="431B1773" w14:textId="77777777" w:rsidR="00B17E53" w:rsidRDefault="00B17E53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015F5E30" w14:textId="7FF38949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CONTEXTE</w:t>
      </w:r>
      <w:r w:rsidR="00BB06F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 / INTRODUCTION</w:t>
      </w:r>
    </w:p>
    <w:p w14:paraId="42AD0EE2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7BEAD844" w14:textId="267265B5" w:rsidR="00452351" w:rsidRDefault="008264AD" w:rsidP="00323B81">
      <w:pPr>
        <w:jc w:val="both"/>
        <w:rPr>
          <w:rStyle w:val="CharacterStyle1"/>
          <w:rFonts w:ascii="Arial" w:hAnsi="Arial" w:cs="Arial"/>
          <w:bCs/>
        </w:rPr>
      </w:pPr>
      <w:r>
        <w:rPr>
          <w:rStyle w:val="CharacterStyle1"/>
          <w:rFonts w:ascii="Arial" w:hAnsi="Arial"/>
          <w:szCs w:val="22"/>
        </w:rPr>
        <w:t>Une des compétences de la</w:t>
      </w:r>
      <w:r w:rsidR="00452351" w:rsidRPr="00452351">
        <w:rPr>
          <w:rStyle w:val="CharacterStyle1"/>
          <w:rFonts w:ascii="Arial" w:hAnsi="Arial"/>
          <w:szCs w:val="22"/>
        </w:rPr>
        <w:t xml:space="preserve"> Région Normandie </w:t>
      </w:r>
      <w:r>
        <w:rPr>
          <w:rStyle w:val="CharacterStyle1"/>
          <w:rFonts w:ascii="Arial" w:hAnsi="Arial"/>
          <w:szCs w:val="22"/>
        </w:rPr>
        <w:t>est</w:t>
      </w:r>
      <w:r w:rsidR="00452351" w:rsidRPr="00452351">
        <w:rPr>
          <w:rStyle w:val="CharacterStyle1"/>
          <w:rFonts w:ascii="Arial" w:hAnsi="Arial"/>
          <w:szCs w:val="22"/>
        </w:rPr>
        <w:t xml:space="preserve"> d’assurer le </w:t>
      </w:r>
      <w:r>
        <w:rPr>
          <w:rStyle w:val="CharacterStyle1"/>
          <w:rFonts w:ascii="Arial" w:hAnsi="Arial"/>
          <w:szCs w:val="22"/>
        </w:rPr>
        <w:t xml:space="preserve">bon </w:t>
      </w:r>
      <w:r w:rsidR="00452351" w:rsidRPr="00452351">
        <w:rPr>
          <w:rStyle w:val="CharacterStyle1"/>
          <w:rFonts w:ascii="Arial" w:hAnsi="Arial"/>
          <w:szCs w:val="22"/>
        </w:rPr>
        <w:t xml:space="preserve">fonctionnement et l’équipement des lycées publics. </w:t>
      </w:r>
    </w:p>
    <w:p w14:paraId="381E1F36" w14:textId="77777777" w:rsidR="007A66A7" w:rsidRPr="00F963AA" w:rsidRDefault="007A66A7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7B77A920" w14:textId="77777777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14:paraId="38A03DB7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766C7084" w14:textId="27AD857F" w:rsidR="00593EC6" w:rsidRDefault="00593EC6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dispositif vise à doter les établissements en équipements non pédagogiques</w:t>
      </w:r>
      <w:r w:rsidR="001E19C5">
        <w:rPr>
          <w:rFonts w:ascii="Arial" w:hAnsi="Arial" w:cs="Arial"/>
          <w:sz w:val="22"/>
          <w:szCs w:val="22"/>
        </w:rPr>
        <w:t xml:space="preserve"> </w:t>
      </w:r>
      <w:r w:rsidR="00A25E18">
        <w:rPr>
          <w:rFonts w:ascii="Arial" w:hAnsi="Arial" w:cs="Arial"/>
          <w:sz w:val="22"/>
          <w:szCs w:val="22"/>
        </w:rPr>
        <w:t>:</w:t>
      </w:r>
    </w:p>
    <w:p w14:paraId="39256C64" w14:textId="77777777" w:rsidR="007A2435" w:rsidRDefault="00593EC6" w:rsidP="00593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mobilier,</w:t>
      </w:r>
    </w:p>
    <w:p w14:paraId="6BBC1CA8" w14:textId="77777777" w:rsidR="00593EC6" w:rsidRDefault="00593EC6" w:rsidP="00593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DC08BE">
        <w:rPr>
          <w:rFonts w:ascii="Arial" w:hAnsi="Arial" w:cs="Arial"/>
        </w:rPr>
        <w:t xml:space="preserve"> renouvellement de</w:t>
      </w:r>
      <w:r>
        <w:rPr>
          <w:rFonts w:ascii="Arial" w:hAnsi="Arial" w:cs="Arial"/>
        </w:rPr>
        <w:t xml:space="preserve"> véhicule (</w:t>
      </w:r>
      <w:r w:rsidR="00DC08BE">
        <w:rPr>
          <w:rFonts w:ascii="Arial" w:hAnsi="Arial" w:cs="Arial"/>
        </w:rPr>
        <w:t>procédure particulière</w:t>
      </w:r>
      <w:r>
        <w:rPr>
          <w:rFonts w:ascii="Arial" w:hAnsi="Arial" w:cs="Arial"/>
        </w:rPr>
        <w:t>),</w:t>
      </w:r>
    </w:p>
    <w:p w14:paraId="2AA43B30" w14:textId="77777777" w:rsidR="00593EC6" w:rsidRDefault="00593EC6" w:rsidP="00593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matériel d’entretien des locaux,</w:t>
      </w:r>
    </w:p>
    <w:p w14:paraId="76FBBDEB" w14:textId="46E71B00" w:rsidR="003E51FB" w:rsidRDefault="00593EC6" w:rsidP="00593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vidéoprojecteurs</w:t>
      </w:r>
      <w:r w:rsidR="001E19C5">
        <w:rPr>
          <w:rFonts w:ascii="Arial" w:hAnsi="Arial" w:cs="Arial"/>
        </w:rPr>
        <w:t>,</w:t>
      </w:r>
    </w:p>
    <w:p w14:paraId="12F08579" w14:textId="447FC827" w:rsidR="003E51FB" w:rsidRDefault="003E51FB" w:rsidP="00593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gros équipements pour les lingeries mutualisés</w:t>
      </w:r>
    </w:p>
    <w:p w14:paraId="4CA9CD2F" w14:textId="752E4998" w:rsidR="003E51FB" w:rsidRPr="00184693" w:rsidRDefault="003E51FB" w:rsidP="00A87F32">
      <w:pPr>
        <w:jc w:val="both"/>
        <w:rPr>
          <w:rFonts w:ascii="Arial" w:hAnsi="Arial" w:cs="Arial"/>
          <w:sz w:val="22"/>
          <w:szCs w:val="22"/>
        </w:rPr>
      </w:pPr>
      <w:r w:rsidRPr="00184693">
        <w:rPr>
          <w:rFonts w:ascii="Arial" w:hAnsi="Arial" w:cs="Arial"/>
          <w:sz w:val="22"/>
          <w:szCs w:val="22"/>
        </w:rPr>
        <w:t>Les demandes de câblage devront être déposées au titre de la fiche procédure "Informatique - Infrastructure Systèmes et Réseaux, et les demandes en postes informatiques dans « Informatique – équipements », et seront gérées par la Direction des Systèmes d’Information.</w:t>
      </w:r>
    </w:p>
    <w:p w14:paraId="2A3DCA92" w14:textId="77777777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</w:p>
    <w:p w14:paraId="76643E6B" w14:textId="77777777" w:rsidR="007A66A7" w:rsidRDefault="007A66A7" w:rsidP="007A2435">
      <w:pPr>
        <w:jc w:val="both"/>
        <w:rPr>
          <w:rFonts w:ascii="Arial" w:hAnsi="Arial" w:cs="Arial"/>
          <w:sz w:val="22"/>
          <w:szCs w:val="22"/>
        </w:rPr>
      </w:pPr>
    </w:p>
    <w:p w14:paraId="1F910C65" w14:textId="77777777"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14:paraId="1A9551DD" w14:textId="77777777" w:rsidR="007A2435" w:rsidRPr="004806EB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ascii="Arial" w:hAnsi="Arial" w:cs="Arial"/>
        </w:rPr>
      </w:pPr>
    </w:p>
    <w:p w14:paraId="6D725696" w14:textId="77777777" w:rsidR="007A2435" w:rsidRPr="004806EB" w:rsidRDefault="00E0069A" w:rsidP="007A2435">
      <w:pPr>
        <w:jc w:val="both"/>
        <w:rPr>
          <w:rStyle w:val="CharacterStyle1"/>
          <w:rFonts w:ascii="Arial" w:hAnsi="Arial"/>
        </w:rPr>
      </w:pPr>
      <w:r w:rsidRPr="004806EB">
        <w:rPr>
          <w:rStyle w:val="CharacterStyle1"/>
          <w:rFonts w:ascii="Arial" w:hAnsi="Arial" w:cs="Arial"/>
          <w:szCs w:val="22"/>
        </w:rPr>
        <w:t>Les Etablissements Publics Locaux d'Ense</w:t>
      </w:r>
      <w:r w:rsidR="00593EC6">
        <w:rPr>
          <w:rStyle w:val="CharacterStyle1"/>
          <w:rFonts w:ascii="Arial" w:hAnsi="Arial" w:cs="Arial"/>
          <w:szCs w:val="22"/>
        </w:rPr>
        <w:t xml:space="preserve">ignement (EPLE) de la région </w:t>
      </w:r>
      <w:r w:rsidRPr="004806EB">
        <w:rPr>
          <w:rStyle w:val="CharacterStyle1"/>
          <w:rFonts w:ascii="Arial" w:hAnsi="Arial" w:cs="Arial"/>
          <w:szCs w:val="22"/>
        </w:rPr>
        <w:t>Normandie</w:t>
      </w:r>
    </w:p>
    <w:p w14:paraId="5670A763" w14:textId="77777777" w:rsidR="007A2435" w:rsidRDefault="007A2435" w:rsidP="007A2435">
      <w:pPr>
        <w:ind w:left="3828"/>
        <w:jc w:val="both"/>
        <w:rPr>
          <w:rFonts w:ascii="Arial" w:hAnsi="Arial" w:cs="Arial"/>
          <w:sz w:val="22"/>
          <w:szCs w:val="22"/>
        </w:rPr>
      </w:pPr>
    </w:p>
    <w:p w14:paraId="3AD25436" w14:textId="77777777" w:rsidR="007A2435" w:rsidRDefault="007A2435" w:rsidP="007A2435">
      <w:pPr>
        <w:jc w:val="both"/>
        <w:rPr>
          <w:rFonts w:ascii="Arial" w:hAnsi="Arial" w:cs="Arial"/>
          <w:sz w:val="16"/>
          <w:szCs w:val="16"/>
        </w:rPr>
      </w:pPr>
    </w:p>
    <w:p w14:paraId="44060C9A" w14:textId="7C3D949A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5659ED" w14:textId="77777777" w:rsidR="007A66A7" w:rsidRDefault="007A66A7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</w:p>
    <w:p w14:paraId="31F56DE4" w14:textId="77777777"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14:paraId="2F85883D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30C85FC8" w14:textId="08805C57" w:rsidR="00467E3A" w:rsidRDefault="00467E3A" w:rsidP="00C234AB">
      <w:pPr>
        <w:pStyle w:val="Style2"/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Chaque demande, déposée sur le portail, fera l’objet d’une instruction par le service </w:t>
      </w:r>
      <w:r w:rsidR="005D249D">
        <w:rPr>
          <w:rStyle w:val="CharacterStyle1"/>
          <w:rFonts w:ascii="Arial" w:hAnsi="Arial" w:cs="Arial"/>
        </w:rPr>
        <w:t xml:space="preserve">Equipements </w:t>
      </w:r>
      <w:r>
        <w:rPr>
          <w:rStyle w:val="CharacterStyle1"/>
          <w:rFonts w:ascii="Arial" w:hAnsi="Arial" w:cs="Arial"/>
        </w:rPr>
        <w:t xml:space="preserve">de la </w:t>
      </w:r>
      <w:r w:rsidR="005D249D">
        <w:rPr>
          <w:rStyle w:val="CharacterStyle1"/>
          <w:rFonts w:ascii="Arial" w:hAnsi="Arial" w:cs="Arial"/>
        </w:rPr>
        <w:t>Direction des Lycées de Normandie</w:t>
      </w:r>
      <w:r>
        <w:rPr>
          <w:rStyle w:val="CharacterStyle1"/>
          <w:rFonts w:ascii="Arial" w:hAnsi="Arial" w:cs="Arial"/>
        </w:rPr>
        <w:t>, au regard :</w:t>
      </w:r>
    </w:p>
    <w:p w14:paraId="120F4A69" w14:textId="5B42AFC1" w:rsidR="00467E3A" w:rsidRDefault="00467E3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Des équipements existants au sein de l’établissement</w:t>
      </w:r>
      <w:r w:rsidR="004113FA">
        <w:rPr>
          <w:rStyle w:val="CharacterStyle1"/>
          <w:rFonts w:ascii="Arial" w:hAnsi="Arial" w:cs="Arial"/>
        </w:rPr>
        <w:t xml:space="preserve"> et de leur vétusté,</w:t>
      </w:r>
    </w:p>
    <w:p w14:paraId="6FA64DF2" w14:textId="77777777" w:rsidR="004113FA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En fonction des opérations de travaux programmées,</w:t>
      </w:r>
    </w:p>
    <w:p w14:paraId="5A0938C5" w14:textId="2471172A" w:rsidR="00C234AB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</w:t>
      </w:r>
      <w:r w:rsidR="00467E3A">
        <w:rPr>
          <w:rStyle w:val="CharacterStyle1"/>
          <w:rFonts w:ascii="Arial" w:hAnsi="Arial" w:cs="Arial"/>
        </w:rPr>
        <w:t>u fonds de roulement d</w:t>
      </w:r>
      <w:r w:rsidR="005D249D">
        <w:rPr>
          <w:rStyle w:val="CharacterStyle1"/>
          <w:rFonts w:ascii="Arial" w:hAnsi="Arial" w:cs="Arial"/>
        </w:rPr>
        <w:t>u budget de</w:t>
      </w:r>
      <w:r w:rsidR="00467E3A">
        <w:rPr>
          <w:rStyle w:val="CharacterStyle1"/>
          <w:rFonts w:ascii="Arial" w:hAnsi="Arial" w:cs="Arial"/>
        </w:rPr>
        <w:t xml:space="preserve"> l’établissement</w:t>
      </w:r>
    </w:p>
    <w:p w14:paraId="2ED3C126" w14:textId="77777777" w:rsidR="004113FA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 la capacité budgétaire de la Région</w:t>
      </w:r>
    </w:p>
    <w:p w14:paraId="30BEC2AE" w14:textId="77777777" w:rsidR="007A66A7" w:rsidRDefault="007A66A7" w:rsidP="00DC08BE">
      <w:pPr>
        <w:pStyle w:val="Style2"/>
        <w:spacing w:before="0" w:after="100" w:afterAutospacing="1" w:line="240" w:lineRule="auto"/>
        <w:contextualSpacing/>
        <w:jc w:val="both"/>
        <w:rPr>
          <w:rStyle w:val="CharacterStyle1"/>
          <w:rFonts w:ascii="Arial" w:hAnsi="Arial" w:cs="Arial"/>
        </w:rPr>
      </w:pPr>
    </w:p>
    <w:p w14:paraId="6EC1FF61" w14:textId="77777777" w:rsidR="007A66A7" w:rsidRDefault="007A66A7" w:rsidP="00DC08BE">
      <w:pPr>
        <w:pStyle w:val="Style2"/>
        <w:spacing w:before="0" w:after="100" w:afterAutospacing="1" w:line="240" w:lineRule="auto"/>
        <w:contextualSpacing/>
        <w:jc w:val="both"/>
        <w:rPr>
          <w:rStyle w:val="CharacterStyle1"/>
          <w:rFonts w:ascii="Arial" w:hAnsi="Arial" w:cs="Arial"/>
        </w:rPr>
      </w:pPr>
    </w:p>
    <w:p w14:paraId="0CA591A5" w14:textId="301A22B9" w:rsidR="007A2435" w:rsidRDefault="0083611A" w:rsidP="00DC08BE">
      <w:pPr>
        <w:pStyle w:val="Style2"/>
        <w:spacing w:before="0" w:after="100" w:afterAutospacing="1" w:line="240" w:lineRule="auto"/>
        <w:contextualSpacing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Concernant </w:t>
      </w:r>
      <w:r w:rsidR="004113FA">
        <w:rPr>
          <w:rStyle w:val="CharacterStyle1"/>
          <w:rFonts w:ascii="Arial" w:hAnsi="Arial" w:cs="Arial"/>
        </w:rPr>
        <w:t xml:space="preserve">les demandes de </w:t>
      </w:r>
      <w:r w:rsidR="004113FA" w:rsidRPr="004113FA">
        <w:rPr>
          <w:rStyle w:val="CharacterStyle1"/>
          <w:rFonts w:ascii="Arial" w:hAnsi="Arial" w:cs="Arial"/>
          <w:u w:val="single"/>
        </w:rPr>
        <w:t>renouvellement de véhicule</w:t>
      </w:r>
      <w:r>
        <w:rPr>
          <w:rStyle w:val="CharacterStyle1"/>
          <w:rFonts w:ascii="Arial" w:hAnsi="Arial" w:cs="Arial"/>
          <w:u w:val="single"/>
        </w:rPr>
        <w:t>, les modalités suivantes seront appliquées</w:t>
      </w:r>
      <w:r w:rsidR="004113FA">
        <w:rPr>
          <w:rStyle w:val="CharacterStyle1"/>
          <w:rFonts w:ascii="Arial" w:hAnsi="Arial" w:cs="Arial"/>
        </w:rPr>
        <w:t> :</w:t>
      </w:r>
    </w:p>
    <w:p w14:paraId="46D11B51" w14:textId="77777777" w:rsidR="004113FA" w:rsidRPr="00DC4BC0" w:rsidRDefault="004113FA" w:rsidP="00BA1785">
      <w:pPr>
        <w:widowControl/>
        <w:autoSpaceDE/>
        <w:autoSpaceDN/>
        <w:adjustRightInd/>
        <w:spacing w:line="240" w:lineRule="atLeast"/>
        <w:ind w:right="12"/>
        <w:contextualSpacing/>
        <w:jc w:val="both"/>
        <w:rPr>
          <w:rStyle w:val="CharacterStyle1"/>
          <w:rFonts w:ascii="Arial" w:hAnsi="Arial" w:cs="Arial"/>
          <w:szCs w:val="22"/>
        </w:rPr>
      </w:pPr>
      <w:r w:rsidRPr="00DC4BC0">
        <w:rPr>
          <w:rStyle w:val="CharacterStyle1"/>
          <w:rFonts w:ascii="Arial" w:hAnsi="Arial" w:cs="Arial"/>
          <w:szCs w:val="22"/>
        </w:rPr>
        <w:t>La Région subventionne à hauteur de 60% du montant retenu du véhicule (Tourisme,  Utilitaire) et 9 places (uniquement pour les lycées agricoles, lycées maritimes et EREA).</w:t>
      </w:r>
    </w:p>
    <w:p w14:paraId="5F11CAFD" w14:textId="77777777" w:rsidR="004113FA" w:rsidRPr="00DC4BC0" w:rsidRDefault="004113FA" w:rsidP="00DC4BC0">
      <w:pPr>
        <w:widowControl/>
        <w:tabs>
          <w:tab w:val="left" w:pos="8364"/>
        </w:tabs>
        <w:autoSpaceDE/>
        <w:autoSpaceDN/>
        <w:adjustRightInd/>
        <w:spacing w:after="200" w:line="240" w:lineRule="atLeast"/>
        <w:ind w:right="12"/>
        <w:contextualSpacing/>
        <w:jc w:val="both"/>
        <w:rPr>
          <w:rStyle w:val="CharacterStyle1"/>
          <w:rFonts w:ascii="Arial" w:hAnsi="Arial" w:cs="Arial"/>
          <w:szCs w:val="22"/>
        </w:rPr>
      </w:pPr>
    </w:p>
    <w:p w14:paraId="06AB1A21" w14:textId="42E777E9" w:rsidR="004113FA" w:rsidRPr="00DC4BC0" w:rsidRDefault="004113FA" w:rsidP="00BA1785">
      <w:pPr>
        <w:widowControl/>
        <w:autoSpaceDE/>
        <w:autoSpaceDN/>
        <w:adjustRightInd/>
        <w:spacing w:after="200" w:line="240" w:lineRule="atLeast"/>
        <w:ind w:right="12"/>
        <w:contextualSpacing/>
        <w:jc w:val="both"/>
        <w:rPr>
          <w:rStyle w:val="CharacterStyle1"/>
          <w:rFonts w:ascii="Arial" w:hAnsi="Arial" w:cs="Arial"/>
          <w:szCs w:val="22"/>
        </w:rPr>
      </w:pPr>
      <w:r w:rsidRPr="00DC4BC0">
        <w:rPr>
          <w:rStyle w:val="CharacterStyle1"/>
          <w:rFonts w:ascii="Arial" w:hAnsi="Arial" w:cs="Arial"/>
          <w:szCs w:val="22"/>
        </w:rPr>
        <w:t>La participation de la Région à hauteur de 60%, au titre de l’inve</w:t>
      </w:r>
      <w:r w:rsidR="009F40C8">
        <w:rPr>
          <w:rStyle w:val="CharacterStyle1"/>
          <w:rFonts w:ascii="Arial" w:hAnsi="Arial" w:cs="Arial"/>
          <w:szCs w:val="22"/>
        </w:rPr>
        <w:t>stissement sera calculée pour l</w:t>
      </w:r>
      <w:r w:rsidRPr="00DC4BC0">
        <w:rPr>
          <w:rStyle w:val="CharacterStyle1"/>
          <w:rFonts w:ascii="Arial" w:hAnsi="Arial" w:cs="Arial"/>
          <w:szCs w:val="22"/>
        </w:rPr>
        <w:t>e montant du véhicule, GPS, Radar de recul, frais de carte grise et d’immatriculation, crochet d’attelage, climatisation, autoradio de série, projecteur antibrouillard, régulateur de vitesse</w:t>
      </w:r>
    </w:p>
    <w:p w14:paraId="6D16057B" w14:textId="77777777" w:rsidR="004113FA" w:rsidRPr="00DC4BC0" w:rsidRDefault="004113FA" w:rsidP="00BA1785">
      <w:pPr>
        <w:widowControl/>
        <w:autoSpaceDE/>
        <w:autoSpaceDN/>
        <w:adjustRightInd/>
        <w:spacing w:after="200" w:line="240" w:lineRule="atLeast"/>
        <w:ind w:right="12"/>
        <w:contextualSpacing/>
        <w:jc w:val="both"/>
        <w:rPr>
          <w:rStyle w:val="CharacterStyle1"/>
          <w:rFonts w:ascii="Arial" w:hAnsi="Arial" w:cs="Arial"/>
          <w:szCs w:val="22"/>
        </w:rPr>
      </w:pPr>
    </w:p>
    <w:p w14:paraId="00DD20F2" w14:textId="77777777" w:rsidR="004113FA" w:rsidRPr="00DC4BC0" w:rsidRDefault="004113FA" w:rsidP="00BA1785">
      <w:pPr>
        <w:widowControl/>
        <w:autoSpaceDE/>
        <w:autoSpaceDN/>
        <w:adjustRightInd/>
        <w:spacing w:after="200" w:line="240" w:lineRule="atLeast"/>
        <w:ind w:right="12"/>
        <w:contextualSpacing/>
        <w:jc w:val="both"/>
        <w:rPr>
          <w:rStyle w:val="CharacterStyle1"/>
          <w:rFonts w:ascii="Arial" w:hAnsi="Arial" w:cs="Arial"/>
          <w:szCs w:val="22"/>
        </w:rPr>
      </w:pPr>
      <w:r w:rsidRPr="00DC4BC0">
        <w:rPr>
          <w:rStyle w:val="CharacterStyle1"/>
          <w:rFonts w:ascii="Arial" w:hAnsi="Arial" w:cs="Arial"/>
          <w:szCs w:val="22"/>
        </w:rPr>
        <w:t xml:space="preserve">Les établissements prendront à leur charge au titre du fonctionnement (ne pas inclure </w:t>
      </w:r>
      <w:r w:rsidR="00FF2A8E" w:rsidRPr="00DC4BC0">
        <w:rPr>
          <w:rStyle w:val="CharacterStyle1"/>
          <w:rFonts w:ascii="Arial" w:hAnsi="Arial" w:cs="Arial"/>
          <w:szCs w:val="22"/>
        </w:rPr>
        <w:t>dans le devis) : boî</w:t>
      </w:r>
      <w:r w:rsidRPr="00DC4BC0">
        <w:rPr>
          <w:rStyle w:val="CharacterStyle1"/>
          <w:rFonts w:ascii="Arial" w:hAnsi="Arial" w:cs="Arial"/>
          <w:szCs w:val="22"/>
        </w:rPr>
        <w:t>te d’ampoules, roue de secours, kit anti-crevaison, kit de sécurité, tapis de sol, peinture métal, toit panoramique, barres de toit, plancher/parois bois ou résine dans les utilitaires (liste non exhaustive)</w:t>
      </w:r>
    </w:p>
    <w:p w14:paraId="3E458EB3" w14:textId="77777777" w:rsidR="004113FA" w:rsidRDefault="004113FA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4F9B33B4" w14:textId="77777777" w:rsidR="007A66A7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4201D710" w14:textId="77777777" w:rsidR="007A66A7" w:rsidRPr="00DC4BC0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0D803802" w14:textId="77777777" w:rsidR="007A2435" w:rsidRPr="00AA222A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</w:rPr>
        <w:t>MODALITES D’INSTRUCTION</w:t>
      </w:r>
      <w:r>
        <w:rPr>
          <w:rStyle w:val="CharacterStyle1"/>
          <w:rFonts w:ascii="Arial" w:hAnsi="Arial" w:cs="Arial"/>
          <w:b/>
          <w:bCs/>
          <w:color w:val="0070BB"/>
          <w:sz w:val="20"/>
        </w:rPr>
        <w:t xml:space="preserve"> ET D’ATTRIBUTION</w:t>
      </w:r>
    </w:p>
    <w:p w14:paraId="0AF14E8A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665EC53E" w14:textId="25A8484C" w:rsidR="007A2435" w:rsidRDefault="007A2435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</w:t>
      </w:r>
      <w:r w:rsidRPr="00621E6E">
        <w:rPr>
          <w:rFonts w:ascii="Arial" w:hAnsi="Arial" w:cs="Arial"/>
          <w:sz w:val="22"/>
          <w:szCs w:val="22"/>
          <w:lang w:eastAsia="en-US"/>
        </w:rPr>
        <w:t>e dossier de demande est constitué des pièces suivantes :</w:t>
      </w:r>
    </w:p>
    <w:p w14:paraId="5B60344A" w14:textId="77777777" w:rsidR="009E5207" w:rsidRPr="00621E6E" w:rsidRDefault="009E5207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C1D5CE" w14:textId="77777777" w:rsidR="00246C7B" w:rsidRPr="008D5F64" w:rsidRDefault="00246C7B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 xml:space="preserve">d’un courrier argumenté et signé du chef d’établissement, </w:t>
      </w:r>
    </w:p>
    <w:p w14:paraId="13342A76" w14:textId="2BBE5364" w:rsidR="007A2435" w:rsidRPr="008D5F64" w:rsidRDefault="00745646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>de 3 devis</w:t>
      </w:r>
      <w:r w:rsidR="00E21DE2">
        <w:rPr>
          <w:rFonts w:ascii="Arial" w:hAnsi="Arial" w:cs="Arial"/>
        </w:rPr>
        <w:t xml:space="preserve"> en cours de validité</w:t>
      </w:r>
      <w:r w:rsidRPr="008D5F64">
        <w:rPr>
          <w:rFonts w:ascii="Arial" w:hAnsi="Arial" w:cs="Arial"/>
        </w:rPr>
        <w:t xml:space="preserve"> (en cas de demande de subvention) ou estimatif du coût si acquisition directe par la Région</w:t>
      </w:r>
    </w:p>
    <w:p w14:paraId="534DB68D" w14:textId="006327EC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76FF3C95" w14:textId="77777777" w:rsidR="004806EB" w:rsidRDefault="004806EB" w:rsidP="007A2435">
      <w:pPr>
        <w:pStyle w:val="Style3"/>
        <w:spacing w:line="240" w:lineRule="auto"/>
        <w:jc w:val="both"/>
        <w:rPr>
          <w:rFonts w:ascii="Arial" w:hAnsi="Arial" w:cs="Arial"/>
        </w:rPr>
      </w:pPr>
    </w:p>
    <w:p w14:paraId="67611636" w14:textId="20D33E47" w:rsidR="00246C7B" w:rsidRDefault="008D5F64" w:rsidP="00246C7B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Dans le cas d’un arbitrage favorable : </w:t>
      </w:r>
    </w:p>
    <w:p w14:paraId="129E1167" w14:textId="0C0F0D64" w:rsidR="007A2435" w:rsidRPr="00621E6E" w:rsidRDefault="00246C7B" w:rsidP="00246C7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46C7B">
        <w:rPr>
          <w:rFonts w:ascii="Arial" w:hAnsi="Arial" w:cs="Arial"/>
        </w:rPr>
        <w:t xml:space="preserve">Soit la Région </w:t>
      </w:r>
      <w:r w:rsidR="005D249D">
        <w:rPr>
          <w:rFonts w:ascii="Arial" w:hAnsi="Arial" w:cs="Arial"/>
        </w:rPr>
        <w:t>confie</w:t>
      </w:r>
      <w:r w:rsidR="005D249D" w:rsidRPr="00246C7B">
        <w:rPr>
          <w:rFonts w:ascii="Arial" w:hAnsi="Arial" w:cs="Arial"/>
        </w:rPr>
        <w:t xml:space="preserve"> </w:t>
      </w:r>
      <w:r w:rsidRPr="00246C7B">
        <w:rPr>
          <w:rFonts w:ascii="Arial" w:hAnsi="Arial" w:cs="Arial"/>
        </w:rPr>
        <w:t>l’achat</w:t>
      </w:r>
      <w:r w:rsidR="005D249D">
        <w:rPr>
          <w:rFonts w:ascii="Arial" w:hAnsi="Arial" w:cs="Arial"/>
        </w:rPr>
        <w:t xml:space="preserve"> de l’équipement</w:t>
      </w:r>
      <w:r w:rsidRPr="00246C7B">
        <w:rPr>
          <w:rFonts w:ascii="Arial" w:hAnsi="Arial" w:cs="Arial"/>
        </w:rPr>
        <w:t xml:space="preserve"> à l’établissement</w:t>
      </w:r>
      <w:r w:rsidR="008D5F64">
        <w:rPr>
          <w:rFonts w:ascii="Arial" w:hAnsi="Arial" w:cs="Arial"/>
        </w:rPr>
        <w:t xml:space="preserve"> </w:t>
      </w:r>
      <w:r w:rsidR="005D249D">
        <w:rPr>
          <w:rFonts w:ascii="Arial" w:hAnsi="Arial" w:cs="Arial"/>
        </w:rPr>
        <w:t xml:space="preserve">qui y procède directement avec l’aide d’une subvention de la Région accordée </w:t>
      </w:r>
      <w:r w:rsidR="008D5F64">
        <w:rPr>
          <w:rFonts w:ascii="Arial" w:hAnsi="Arial" w:cs="Arial"/>
        </w:rPr>
        <w:t>après passage en Commission Permanente</w:t>
      </w:r>
      <w:r w:rsidR="00FF2A8E">
        <w:rPr>
          <w:rFonts w:ascii="Arial" w:hAnsi="Arial" w:cs="Arial"/>
        </w:rPr>
        <w:t> ;</w:t>
      </w:r>
    </w:p>
    <w:p w14:paraId="550E5297" w14:textId="6B9BBE45" w:rsidR="008D5F64" w:rsidRPr="00246C7B" w:rsidRDefault="008D5F64" w:rsidP="008D5F64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246C7B">
        <w:rPr>
          <w:rFonts w:ascii="Arial" w:hAnsi="Arial" w:cs="Arial"/>
        </w:rPr>
        <w:t xml:space="preserve">Soit la Région procède par acquisition directe </w:t>
      </w:r>
      <w:r w:rsidR="005D249D">
        <w:rPr>
          <w:rFonts w:ascii="Arial" w:hAnsi="Arial" w:cs="Arial"/>
        </w:rPr>
        <w:t>de l’équipement</w:t>
      </w:r>
      <w:r w:rsidR="005D249D" w:rsidRPr="00246C7B">
        <w:rPr>
          <w:rFonts w:ascii="Arial" w:hAnsi="Arial" w:cs="Arial"/>
        </w:rPr>
        <w:t xml:space="preserve"> </w:t>
      </w:r>
      <w:r w:rsidRPr="00246C7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via l’UGAP ou via ses marchés) : </w:t>
      </w:r>
    </w:p>
    <w:p w14:paraId="21835136" w14:textId="06A1E360" w:rsidR="008D5F64" w:rsidRPr="005F032A" w:rsidRDefault="008D5F64" w:rsidP="00A25E18">
      <w:pPr>
        <w:pStyle w:val="Style3"/>
        <w:spacing w:line="240" w:lineRule="auto"/>
        <w:ind w:left="2127"/>
        <w:jc w:val="both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 xml:space="preserve">Liste </w:t>
      </w:r>
      <w:r w:rsidR="005D249D" w:rsidRPr="005F032A">
        <w:rPr>
          <w:rFonts w:ascii="Arial" w:hAnsi="Arial" w:cs="Arial"/>
          <w:i/>
        </w:rPr>
        <w:t xml:space="preserve">indicative </w:t>
      </w:r>
      <w:r w:rsidRPr="005F032A">
        <w:rPr>
          <w:rFonts w:ascii="Arial" w:hAnsi="Arial" w:cs="Arial"/>
          <w:i/>
        </w:rPr>
        <w:t>des marchés régionaux :</w:t>
      </w:r>
    </w:p>
    <w:p w14:paraId="45CF3CBD" w14:textId="77777777" w:rsidR="00A25E18" w:rsidRPr="005F032A" w:rsidRDefault="00A25E18" w:rsidP="008D5F64">
      <w:pPr>
        <w:pStyle w:val="Style3"/>
        <w:spacing w:line="240" w:lineRule="auto"/>
        <w:ind w:left="2410"/>
        <w:jc w:val="both"/>
        <w:rPr>
          <w:rFonts w:ascii="Arial" w:hAnsi="Arial" w:cs="Arial"/>
          <w:i/>
        </w:rPr>
      </w:pPr>
    </w:p>
    <w:p w14:paraId="3A59FA60" w14:textId="7D0CCC15" w:rsidR="008D5F64" w:rsidRDefault="008D5F64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proofErr w:type="gramStart"/>
      <w:r w:rsidRPr="005F032A">
        <w:rPr>
          <w:rFonts w:ascii="Arial" w:hAnsi="Arial" w:cs="Arial"/>
          <w:i/>
        </w:rPr>
        <w:t>mobilier</w:t>
      </w:r>
      <w:proofErr w:type="gramEnd"/>
      <w:r w:rsidRPr="005F032A">
        <w:rPr>
          <w:rFonts w:ascii="Arial" w:hAnsi="Arial" w:cs="Arial"/>
          <w:i/>
        </w:rPr>
        <w:t xml:space="preserve"> administratif</w:t>
      </w:r>
    </w:p>
    <w:p w14:paraId="6EFE3AEF" w14:textId="2967DE63" w:rsidR="00D3446D" w:rsidRPr="005F032A" w:rsidRDefault="00D3446D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mobilier</w:t>
      </w:r>
      <w:proofErr w:type="gramEnd"/>
      <w:r>
        <w:rPr>
          <w:rFonts w:ascii="Arial" w:hAnsi="Arial" w:cs="Arial"/>
          <w:i/>
        </w:rPr>
        <w:t xml:space="preserve"> de lieux de vie</w:t>
      </w:r>
    </w:p>
    <w:p w14:paraId="28E6F4F1" w14:textId="77777777" w:rsidR="008D5F64" w:rsidRPr="005F032A" w:rsidRDefault="0032193E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proofErr w:type="gramStart"/>
      <w:r w:rsidRPr="005F032A">
        <w:rPr>
          <w:rFonts w:ascii="Arial" w:hAnsi="Arial" w:cs="Arial"/>
          <w:i/>
        </w:rPr>
        <w:t>mobilier</w:t>
      </w:r>
      <w:proofErr w:type="gramEnd"/>
      <w:r w:rsidRPr="005F032A">
        <w:rPr>
          <w:rFonts w:ascii="Arial" w:hAnsi="Arial" w:cs="Arial"/>
          <w:i/>
        </w:rPr>
        <w:t xml:space="preserve"> </w:t>
      </w:r>
      <w:r w:rsidR="008D5F64" w:rsidRPr="005F032A">
        <w:rPr>
          <w:rFonts w:ascii="Arial" w:hAnsi="Arial" w:cs="Arial"/>
          <w:i/>
        </w:rPr>
        <w:t>scolaire et CDI</w:t>
      </w:r>
    </w:p>
    <w:p w14:paraId="3F4F80A4" w14:textId="77777777" w:rsidR="008D5F64" w:rsidRPr="005F032A" w:rsidRDefault="008D5F64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>mobilier d’internat</w:t>
      </w:r>
    </w:p>
    <w:p w14:paraId="6806EB2B" w14:textId="77777777" w:rsidR="008D5F64" w:rsidRPr="005F032A" w:rsidRDefault="008D5F64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>mobilier de sciences</w:t>
      </w:r>
    </w:p>
    <w:p w14:paraId="6C78B76C" w14:textId="77777777" w:rsidR="004070CA" w:rsidRPr="005F032A" w:rsidRDefault="0032193E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>mobilier de self et cafété</w:t>
      </w:r>
      <w:r w:rsidR="004070CA" w:rsidRPr="005F032A">
        <w:rPr>
          <w:rFonts w:ascii="Arial" w:hAnsi="Arial" w:cs="Arial"/>
          <w:i/>
        </w:rPr>
        <w:t>ria</w:t>
      </w:r>
    </w:p>
    <w:p w14:paraId="6E218C2A" w14:textId="77777777" w:rsidR="008D5F64" w:rsidRPr="005F032A" w:rsidRDefault="008D5F64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>plateaux self</w:t>
      </w:r>
    </w:p>
    <w:p w14:paraId="180B10AF" w14:textId="77777777" w:rsidR="008D5F64" w:rsidRPr="005F032A" w:rsidRDefault="008D5F64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>matériels d’entretien</w:t>
      </w:r>
    </w:p>
    <w:p w14:paraId="7B8BD2ED" w14:textId="77777777" w:rsidR="007C0051" w:rsidRPr="005F032A" w:rsidRDefault="007C0051" w:rsidP="00A25E18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2694"/>
        <w:jc w:val="both"/>
        <w:textAlignment w:val="baseline"/>
        <w:rPr>
          <w:rFonts w:ascii="Arial" w:hAnsi="Arial" w:cs="Arial"/>
          <w:i/>
        </w:rPr>
      </w:pPr>
      <w:r w:rsidRPr="005F032A">
        <w:rPr>
          <w:rFonts w:ascii="Arial" w:hAnsi="Arial" w:cs="Arial"/>
          <w:i/>
        </w:rPr>
        <w:t>matériels à destination des lingeries mutualisées</w:t>
      </w:r>
    </w:p>
    <w:p w14:paraId="3E27C7A2" w14:textId="77777777" w:rsidR="007A2435" w:rsidRPr="00621E6E" w:rsidRDefault="007A2435" w:rsidP="007A2435">
      <w:pPr>
        <w:ind w:left="360"/>
        <w:jc w:val="both"/>
        <w:rPr>
          <w:rFonts w:ascii="Arial" w:hAnsi="Arial" w:cs="Arial"/>
        </w:rPr>
      </w:pPr>
    </w:p>
    <w:p w14:paraId="17225D4F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14:paraId="1C624FCE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029C5CD8" w14:textId="50DF5D91" w:rsidR="00246C7B" w:rsidRPr="00246C7B" w:rsidRDefault="00745646" w:rsidP="00452351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6C7B" w:rsidRPr="00246C7B">
        <w:rPr>
          <w:rFonts w:ascii="Arial" w:hAnsi="Arial" w:cs="Arial"/>
        </w:rPr>
        <w:t>cquisition directe</w:t>
      </w:r>
      <w:r w:rsidR="005D249D">
        <w:rPr>
          <w:rFonts w:ascii="Arial" w:hAnsi="Arial" w:cs="Arial"/>
        </w:rPr>
        <w:t xml:space="preserve"> par la Région</w:t>
      </w:r>
      <w:r w:rsidR="00452351" w:rsidRPr="00452351">
        <w:rPr>
          <w:rFonts w:ascii="Arial" w:hAnsi="Arial" w:cs="Arial"/>
        </w:rPr>
        <w:t xml:space="preserve"> : </w:t>
      </w:r>
      <w:r w:rsidR="00D12DD0" w:rsidRPr="00452351">
        <w:rPr>
          <w:rFonts w:ascii="Arial" w:hAnsi="Arial" w:cs="Arial"/>
        </w:rPr>
        <w:t>l</w:t>
      </w:r>
      <w:r w:rsidR="00D12DD0">
        <w:rPr>
          <w:rFonts w:ascii="Arial" w:hAnsi="Arial" w:cs="Arial"/>
        </w:rPr>
        <w:t xml:space="preserve">e service Equipements </w:t>
      </w:r>
      <w:r w:rsidR="00452351" w:rsidRPr="00452351">
        <w:rPr>
          <w:rFonts w:ascii="Arial" w:hAnsi="Arial" w:cs="Arial"/>
        </w:rPr>
        <w:t>procède à la commande et au paiement</w:t>
      </w:r>
      <w:r w:rsidR="00246C7B" w:rsidRPr="00246C7B">
        <w:rPr>
          <w:rFonts w:ascii="Arial" w:hAnsi="Arial" w:cs="Arial"/>
        </w:rPr>
        <w:t>,</w:t>
      </w:r>
      <w:r w:rsidR="005D249D">
        <w:rPr>
          <w:rFonts w:ascii="Arial" w:hAnsi="Arial" w:cs="Arial"/>
        </w:rPr>
        <w:t xml:space="preserve"> l’établissement s’engage à rendre compte à la Région de la réception conforme de l’équipement</w:t>
      </w:r>
    </w:p>
    <w:p w14:paraId="4AC0EA5B" w14:textId="02BEA0A7" w:rsidR="00246C7B" w:rsidRPr="00246C7B" w:rsidRDefault="008A08D4" w:rsidP="00452351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193E">
        <w:rPr>
          <w:rFonts w:ascii="Arial" w:hAnsi="Arial" w:cs="Arial"/>
        </w:rPr>
        <w:t xml:space="preserve">ubvention </w:t>
      </w:r>
      <w:r w:rsidR="005D249D">
        <w:rPr>
          <w:rFonts w:ascii="Arial" w:hAnsi="Arial" w:cs="Arial"/>
        </w:rPr>
        <w:t xml:space="preserve">de la Région </w:t>
      </w:r>
      <w:r w:rsidR="00745646">
        <w:rPr>
          <w:rFonts w:ascii="Arial" w:hAnsi="Arial" w:cs="Arial"/>
        </w:rPr>
        <w:t xml:space="preserve">à </w:t>
      </w:r>
      <w:r w:rsidR="00246C7B" w:rsidRPr="00246C7B">
        <w:rPr>
          <w:rFonts w:ascii="Arial" w:hAnsi="Arial" w:cs="Arial"/>
        </w:rPr>
        <w:t>l’établissement</w:t>
      </w:r>
      <w:r w:rsidR="00452351" w:rsidRPr="00452351">
        <w:rPr>
          <w:rFonts w:ascii="Arial" w:hAnsi="Arial" w:cs="Arial"/>
        </w:rPr>
        <w:t>, les modalités suivantes sont appliquées</w:t>
      </w:r>
      <w:r w:rsidR="00246C7B" w:rsidRPr="00246C7B">
        <w:rPr>
          <w:rFonts w:ascii="Arial" w:hAnsi="Arial" w:cs="Arial"/>
        </w:rPr>
        <w:t> :</w:t>
      </w:r>
    </w:p>
    <w:p w14:paraId="65EB8CD5" w14:textId="02A1341A" w:rsidR="00246C7B" w:rsidRPr="00246C7B" w:rsidRDefault="00745646" w:rsidP="00246C7B">
      <w:pPr>
        <w:tabs>
          <w:tab w:val="left" w:pos="852"/>
        </w:tabs>
        <w:suppressAutoHyphens/>
        <w:adjustRightInd/>
        <w:spacing w:after="200" w:line="276" w:lineRule="auto"/>
        <w:ind w:left="10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-&gt; </w:t>
      </w:r>
      <w:r w:rsidR="00246C7B" w:rsidRPr="00246C7B">
        <w:rPr>
          <w:rFonts w:ascii="Arial" w:hAnsi="Arial" w:cs="Arial"/>
          <w:sz w:val="22"/>
          <w:szCs w:val="22"/>
          <w:lang w:eastAsia="en-US"/>
        </w:rPr>
        <w:t xml:space="preserve">mandatement </w:t>
      </w:r>
      <w:r w:rsidR="005D249D">
        <w:rPr>
          <w:rFonts w:ascii="Arial" w:hAnsi="Arial" w:cs="Arial"/>
          <w:sz w:val="22"/>
          <w:szCs w:val="22"/>
          <w:lang w:eastAsia="en-US"/>
        </w:rPr>
        <w:t xml:space="preserve">par la Région </w:t>
      </w:r>
      <w:r w:rsidR="00246C7B" w:rsidRPr="00246C7B">
        <w:rPr>
          <w:rFonts w:ascii="Arial" w:hAnsi="Arial" w:cs="Arial"/>
          <w:sz w:val="22"/>
          <w:szCs w:val="22"/>
          <w:lang w:eastAsia="en-US"/>
        </w:rPr>
        <w:t>d’un acompte de 75 % du montant de l’achat confié, ou de la subvention à la notification de la délibération,</w:t>
      </w:r>
    </w:p>
    <w:p w14:paraId="032DED21" w14:textId="0B4F92A1" w:rsidR="00246C7B" w:rsidRPr="00246C7B" w:rsidRDefault="00246C7B" w:rsidP="00246C7B">
      <w:pPr>
        <w:tabs>
          <w:tab w:val="left" w:pos="852"/>
        </w:tabs>
        <w:suppressAutoHyphens/>
        <w:adjustRightInd/>
        <w:spacing w:after="200" w:line="276" w:lineRule="auto"/>
        <w:ind w:left="10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46C7B">
        <w:rPr>
          <w:rFonts w:ascii="Arial" w:hAnsi="Arial" w:cs="Arial"/>
          <w:sz w:val="22"/>
          <w:szCs w:val="22"/>
          <w:lang w:eastAsia="en-US"/>
        </w:rPr>
        <w:t>-&gt; mandatement du solde</w:t>
      </w:r>
      <w:r w:rsidR="005D249D" w:rsidRPr="005D249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49D">
        <w:rPr>
          <w:rFonts w:ascii="Arial" w:hAnsi="Arial" w:cs="Arial"/>
          <w:sz w:val="22"/>
          <w:szCs w:val="22"/>
          <w:lang w:eastAsia="en-US"/>
        </w:rPr>
        <w:t>par la Région</w:t>
      </w:r>
      <w:r w:rsidRPr="00246C7B">
        <w:rPr>
          <w:rFonts w:ascii="Arial" w:hAnsi="Arial" w:cs="Arial"/>
          <w:sz w:val="22"/>
          <w:szCs w:val="22"/>
          <w:lang w:eastAsia="en-US"/>
        </w:rPr>
        <w:t xml:space="preserve">, à la livraison des équipements, sur présentation d’un état récapitulatif </w:t>
      </w:r>
      <w:r w:rsidR="00745646">
        <w:rPr>
          <w:rFonts w:ascii="Arial" w:hAnsi="Arial" w:cs="Arial"/>
          <w:sz w:val="22"/>
          <w:szCs w:val="22"/>
          <w:lang w:eastAsia="en-US"/>
        </w:rPr>
        <w:t>détaillé des dépenses</w:t>
      </w:r>
      <w:r w:rsidRPr="00246C7B">
        <w:rPr>
          <w:rFonts w:ascii="Arial" w:hAnsi="Arial" w:cs="Arial"/>
          <w:sz w:val="22"/>
          <w:szCs w:val="22"/>
          <w:lang w:eastAsia="en-US"/>
        </w:rPr>
        <w:t>. L’état récapitulatif détaillé des dépenses signé de l’agent comptable ou du chef d’établissement devra mentionner pour chaque facture : le nom de l’entreprise, la date, l’objet, le montant et les références du mandat. Par ailleurs, la Région se réserve le droit de demander, à l’établissement, toute pièce justificative complémentaire.</w:t>
      </w:r>
    </w:p>
    <w:p w14:paraId="4641ED1B" w14:textId="77777777" w:rsidR="007A2435" w:rsidRDefault="007A2435" w:rsidP="007A2435">
      <w:pPr>
        <w:pStyle w:val="Style3"/>
        <w:spacing w:before="36"/>
      </w:pPr>
    </w:p>
    <w:p w14:paraId="6A320B88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EN SAVOIR PLUS</w:t>
      </w:r>
    </w:p>
    <w:p w14:paraId="1CF161BC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5A30C7B8" w14:textId="70E2CF87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Décision fondatrice :</w:t>
      </w:r>
      <w:r w:rsidR="004113FA">
        <w:rPr>
          <w:rFonts w:ascii="Arial" w:hAnsi="Arial" w:cs="Arial"/>
          <w:sz w:val="22"/>
          <w:szCs w:val="22"/>
        </w:rPr>
        <w:t xml:space="preserve"> CP 22/05/2017 pour la participation au renouvellement de véhicule</w:t>
      </w:r>
    </w:p>
    <w:p w14:paraId="1C6AB1B1" w14:textId="77777777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</w:p>
    <w:p w14:paraId="442F9098" w14:textId="44F009D3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règlementaire</w:t>
      </w:r>
      <w:r w:rsidRPr="00621E6E">
        <w:rPr>
          <w:rFonts w:ascii="Arial" w:hAnsi="Arial" w:cs="Arial"/>
          <w:sz w:val="22"/>
          <w:szCs w:val="22"/>
        </w:rPr>
        <w:t> :</w:t>
      </w:r>
      <w:r w:rsidR="00745646">
        <w:rPr>
          <w:rFonts w:ascii="Arial" w:hAnsi="Arial" w:cs="Arial"/>
          <w:sz w:val="22"/>
          <w:szCs w:val="22"/>
        </w:rPr>
        <w:t xml:space="preserve"> Article L</w:t>
      </w:r>
      <w:r w:rsidR="00DC08BE">
        <w:rPr>
          <w:rFonts w:ascii="Arial" w:hAnsi="Arial" w:cs="Arial"/>
          <w:sz w:val="22"/>
          <w:szCs w:val="22"/>
        </w:rPr>
        <w:t>214-6</w:t>
      </w:r>
      <w:r w:rsidR="00745646">
        <w:rPr>
          <w:rFonts w:ascii="Arial" w:hAnsi="Arial" w:cs="Arial"/>
          <w:sz w:val="22"/>
          <w:szCs w:val="22"/>
        </w:rPr>
        <w:t xml:space="preserve"> du </w:t>
      </w:r>
      <w:r w:rsidR="00507426">
        <w:rPr>
          <w:rFonts w:ascii="Arial" w:hAnsi="Arial" w:cs="Arial"/>
          <w:sz w:val="22"/>
          <w:szCs w:val="22"/>
        </w:rPr>
        <w:t>C</w:t>
      </w:r>
      <w:r w:rsidR="00745646">
        <w:rPr>
          <w:rFonts w:ascii="Arial" w:hAnsi="Arial" w:cs="Arial"/>
          <w:sz w:val="22"/>
          <w:szCs w:val="22"/>
        </w:rPr>
        <w:t>ode de l’Educ</w:t>
      </w:r>
      <w:r w:rsidR="009F40C8">
        <w:rPr>
          <w:rFonts w:ascii="Arial" w:hAnsi="Arial" w:cs="Arial"/>
          <w:sz w:val="22"/>
          <w:szCs w:val="22"/>
        </w:rPr>
        <w:t>a</w:t>
      </w:r>
      <w:r w:rsidR="00745646">
        <w:rPr>
          <w:rFonts w:ascii="Arial" w:hAnsi="Arial" w:cs="Arial"/>
          <w:sz w:val="22"/>
          <w:szCs w:val="22"/>
        </w:rPr>
        <w:t>tion</w:t>
      </w:r>
    </w:p>
    <w:p w14:paraId="53F3F390" w14:textId="77777777" w:rsidR="00593679" w:rsidRDefault="00593679" w:rsidP="007A2435">
      <w:pPr>
        <w:jc w:val="both"/>
        <w:rPr>
          <w:rFonts w:ascii="Arial" w:hAnsi="Arial" w:cs="Arial"/>
          <w:sz w:val="22"/>
          <w:szCs w:val="22"/>
        </w:rPr>
      </w:pPr>
    </w:p>
    <w:p w14:paraId="552779CC" w14:textId="3C09469B" w:rsidR="007A2435" w:rsidRPr="007A2435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 w:rsidRPr="007A2435">
        <w:rPr>
          <w:rFonts w:ascii="Arial" w:hAnsi="Arial" w:cs="Arial"/>
          <w:sz w:val="22"/>
          <w:szCs w:val="22"/>
          <w:u w:val="single"/>
        </w:rPr>
        <w:t>Contact</w:t>
      </w:r>
      <w:r w:rsidRPr="007A2435">
        <w:rPr>
          <w:rFonts w:ascii="Arial" w:hAnsi="Arial" w:cs="Arial"/>
          <w:sz w:val="22"/>
          <w:szCs w:val="22"/>
        </w:rPr>
        <w:t> :</w:t>
      </w:r>
    </w:p>
    <w:p w14:paraId="6678600C" w14:textId="77777777" w:rsidR="007A2435" w:rsidRPr="007A2435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33099D81" w14:textId="77777777" w:rsidR="007A2435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lycées de Normandie</w:t>
      </w:r>
    </w:p>
    <w:p w14:paraId="12EC1BFB" w14:textId="3F4209F3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5D249D">
        <w:rPr>
          <w:rFonts w:ascii="Arial" w:hAnsi="Arial" w:cs="Arial"/>
          <w:sz w:val="22"/>
          <w:szCs w:val="22"/>
        </w:rPr>
        <w:t>Equipements</w:t>
      </w:r>
    </w:p>
    <w:p w14:paraId="06FA35EB" w14:textId="77777777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555F0717" w14:textId="0B699322" w:rsidR="007A2435" w:rsidRPr="00BF20B6" w:rsidRDefault="007A2435" w:rsidP="00BF20B6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17E53">
        <w:rPr>
          <w:rFonts w:ascii="Arial" w:hAnsi="Arial" w:cs="Arial"/>
          <w:sz w:val="22"/>
          <w:szCs w:val="22"/>
        </w:rPr>
        <w:t xml:space="preserve"> : </w:t>
      </w:r>
      <w:r w:rsidR="00452351">
        <w:rPr>
          <w:rFonts w:ascii="Arial" w:hAnsi="Arial" w:cs="Arial"/>
          <w:sz w:val="22"/>
          <w:szCs w:val="22"/>
        </w:rPr>
        <w:t>02.35.52.21.22</w:t>
      </w:r>
      <w:bookmarkStart w:id="0" w:name="_GoBack"/>
      <w:bookmarkEnd w:id="0"/>
    </w:p>
    <w:sectPr w:rsidR="007A2435" w:rsidRPr="00BF20B6" w:rsidSect="00046F62">
      <w:headerReference w:type="even" r:id="rId9"/>
      <w:headerReference w:type="default" r:id="rId10"/>
      <w:headerReference w:type="first" r:id="rId11"/>
      <w:pgSz w:w="11918" w:h="16854"/>
      <w:pgMar w:top="993" w:right="1417" w:bottom="1417" w:left="1417" w:header="720" w:footer="131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639A" w14:textId="77777777" w:rsidR="00E80123" w:rsidRDefault="00E80123" w:rsidP="008A44E2">
      <w:r>
        <w:separator/>
      </w:r>
    </w:p>
  </w:endnote>
  <w:endnote w:type="continuationSeparator" w:id="0">
    <w:p w14:paraId="095BD751" w14:textId="77777777" w:rsidR="00E80123" w:rsidRDefault="00E80123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DC63" w14:textId="77777777" w:rsidR="00E80123" w:rsidRDefault="00E80123" w:rsidP="008A44E2">
      <w:r>
        <w:separator/>
      </w:r>
    </w:p>
  </w:footnote>
  <w:footnote w:type="continuationSeparator" w:id="0">
    <w:p w14:paraId="49D609FE" w14:textId="77777777" w:rsidR="00E80123" w:rsidRDefault="00E80123" w:rsidP="008A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EC9" w14:textId="41C51FE7" w:rsidR="008A44E2" w:rsidRDefault="008A44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973E" w14:textId="4265BC41" w:rsidR="008A44E2" w:rsidRDefault="008A44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E976" w14:textId="7BDF54CC" w:rsidR="008A44E2" w:rsidRDefault="008A4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6A8"/>
    <w:multiLevelType w:val="hybridMultilevel"/>
    <w:tmpl w:val="2A320B76"/>
    <w:lvl w:ilvl="0" w:tplc="EAA69AAC">
      <w:start w:val="6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D45FDB"/>
    <w:multiLevelType w:val="hybridMultilevel"/>
    <w:tmpl w:val="BAF6FBA0"/>
    <w:lvl w:ilvl="0" w:tplc="C958E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68FD"/>
    <w:multiLevelType w:val="hybridMultilevel"/>
    <w:tmpl w:val="68725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D53"/>
    <w:multiLevelType w:val="hybridMultilevel"/>
    <w:tmpl w:val="EC10CB44"/>
    <w:lvl w:ilvl="0" w:tplc="15B05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7177"/>
    <w:multiLevelType w:val="hybridMultilevel"/>
    <w:tmpl w:val="83EC9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435"/>
    <w:rsid w:val="00046F62"/>
    <w:rsid w:val="000828C7"/>
    <w:rsid w:val="001036FF"/>
    <w:rsid w:val="0018386C"/>
    <w:rsid w:val="00184693"/>
    <w:rsid w:val="001E19C5"/>
    <w:rsid w:val="00240B80"/>
    <w:rsid w:val="00243A6D"/>
    <w:rsid w:val="00246C7B"/>
    <w:rsid w:val="00261F7E"/>
    <w:rsid w:val="0028483B"/>
    <w:rsid w:val="0032193E"/>
    <w:rsid w:val="00323B81"/>
    <w:rsid w:val="003550E6"/>
    <w:rsid w:val="0036427D"/>
    <w:rsid w:val="00396546"/>
    <w:rsid w:val="003E51FB"/>
    <w:rsid w:val="004070CA"/>
    <w:rsid w:val="004113FA"/>
    <w:rsid w:val="00452351"/>
    <w:rsid w:val="00466EE5"/>
    <w:rsid w:val="00467E3A"/>
    <w:rsid w:val="004806EB"/>
    <w:rsid w:val="004A27C3"/>
    <w:rsid w:val="00507426"/>
    <w:rsid w:val="00514A76"/>
    <w:rsid w:val="00552FA0"/>
    <w:rsid w:val="005662A7"/>
    <w:rsid w:val="00593679"/>
    <w:rsid w:val="00593EC6"/>
    <w:rsid w:val="005C4A16"/>
    <w:rsid w:val="005D249D"/>
    <w:rsid w:val="005F032A"/>
    <w:rsid w:val="00601395"/>
    <w:rsid w:val="006D42A5"/>
    <w:rsid w:val="0071563C"/>
    <w:rsid w:val="00735A3A"/>
    <w:rsid w:val="00745646"/>
    <w:rsid w:val="00787606"/>
    <w:rsid w:val="007A2435"/>
    <w:rsid w:val="007A66A7"/>
    <w:rsid w:val="007C0051"/>
    <w:rsid w:val="008264AD"/>
    <w:rsid w:val="0083611A"/>
    <w:rsid w:val="00844128"/>
    <w:rsid w:val="008A08D4"/>
    <w:rsid w:val="008A44E2"/>
    <w:rsid w:val="008D2BA2"/>
    <w:rsid w:val="008D5F64"/>
    <w:rsid w:val="00924B72"/>
    <w:rsid w:val="009E5207"/>
    <w:rsid w:val="009F40C8"/>
    <w:rsid w:val="00A25E18"/>
    <w:rsid w:val="00A87F32"/>
    <w:rsid w:val="00AB59C3"/>
    <w:rsid w:val="00AC6250"/>
    <w:rsid w:val="00AF378B"/>
    <w:rsid w:val="00B0204D"/>
    <w:rsid w:val="00B17E53"/>
    <w:rsid w:val="00B86FF3"/>
    <w:rsid w:val="00BA1785"/>
    <w:rsid w:val="00BB06FA"/>
    <w:rsid w:val="00BF20B6"/>
    <w:rsid w:val="00BF2C22"/>
    <w:rsid w:val="00C13D26"/>
    <w:rsid w:val="00C234AB"/>
    <w:rsid w:val="00C35FC3"/>
    <w:rsid w:val="00C51C6A"/>
    <w:rsid w:val="00C53A58"/>
    <w:rsid w:val="00D12DD0"/>
    <w:rsid w:val="00D3446D"/>
    <w:rsid w:val="00D479C0"/>
    <w:rsid w:val="00DC08BE"/>
    <w:rsid w:val="00DC4BC0"/>
    <w:rsid w:val="00DD2788"/>
    <w:rsid w:val="00E0069A"/>
    <w:rsid w:val="00E21DE2"/>
    <w:rsid w:val="00E258DB"/>
    <w:rsid w:val="00E573F7"/>
    <w:rsid w:val="00E722BA"/>
    <w:rsid w:val="00E80123"/>
    <w:rsid w:val="00EB7189"/>
    <w:rsid w:val="00EC1CE5"/>
    <w:rsid w:val="00F300B5"/>
    <w:rsid w:val="00FE3734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80C90"/>
  <w15:docId w15:val="{945E77B1-2B40-445F-8E62-57856F31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3FB2-0BC6-414F-B5BF-67D2993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PICART Karine</dc:creator>
  <cp:lastModifiedBy>GEORGES Corinne</cp:lastModifiedBy>
  <cp:revision>19</cp:revision>
  <cp:lastPrinted>2017-04-28T07:04:00Z</cp:lastPrinted>
  <dcterms:created xsi:type="dcterms:W3CDTF">2018-11-30T16:24:00Z</dcterms:created>
  <dcterms:modified xsi:type="dcterms:W3CDTF">2021-01-27T09:57:00Z</dcterms:modified>
</cp:coreProperties>
</file>